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4D8F9" w14:textId="0A35FF30" w:rsidR="000B0457" w:rsidRPr="003C2880" w:rsidRDefault="000B0457" w:rsidP="000B0457">
      <w:pPr>
        <w:spacing w:before="120" w:after="120"/>
        <w:rPr>
          <w:rFonts w:ascii="Times New Roman" w:eastAsia="Malgun Gothic" w:hAnsi="Times New Roman" w:cs="Times New Roman"/>
          <w:b/>
          <w:bCs/>
          <w:sz w:val="20"/>
        </w:rPr>
      </w:pPr>
      <w:r w:rsidRPr="003C2880">
        <w:rPr>
          <w:rFonts w:ascii="Times New Roman" w:eastAsia="Malgun Gothic" w:hAnsi="Times New Roman" w:cs="Times New Roman"/>
          <w:b/>
          <w:bCs/>
          <w:sz w:val="20"/>
        </w:rPr>
        <w:t xml:space="preserve">Table 3.  Mediation Analysis Results for the Association between ADL Disability, Depressive Symptoms, and Incident CVD </w:t>
      </w:r>
    </w:p>
    <w:tbl>
      <w:tblPr>
        <w:tblW w:w="5000" w:type="pct"/>
        <w:tblBorders>
          <w:top w:val="single" w:sz="1" w:space="0" w:color="000000"/>
          <w:bottom w:val="single" w:sz="1" w:space="0" w:color="000000"/>
        </w:tblBorders>
        <w:tblCellMar>
          <w:left w:w="10" w:type="dxa"/>
          <w:right w:w="10" w:type="dxa"/>
        </w:tblCellMar>
        <w:tblLook w:val="0000" w:firstRow="0" w:lastRow="0" w:firstColumn="0" w:lastColumn="0" w:noHBand="0" w:noVBand="0"/>
      </w:tblPr>
      <w:tblGrid>
        <w:gridCol w:w="1234"/>
        <w:gridCol w:w="1159"/>
        <w:gridCol w:w="1032"/>
        <w:gridCol w:w="665"/>
        <w:gridCol w:w="1134"/>
        <w:gridCol w:w="1173"/>
        <w:gridCol w:w="1282"/>
        <w:gridCol w:w="677"/>
        <w:gridCol w:w="670"/>
      </w:tblGrid>
      <w:tr w:rsidR="00F25408" w:rsidRPr="000B0457" w14:paraId="772E491E" w14:textId="77777777">
        <w:trPr>
          <w:tblHeader/>
        </w:trPr>
        <w:tc>
          <w:tcPr>
            <w:tcW w:w="0" w:type="auto"/>
            <w:tcBorders>
              <w:bottom w:val="single" w:sz="0" w:space="0" w:color="000000"/>
            </w:tcBorders>
            <w:vAlign w:val="center"/>
          </w:tcPr>
          <w:p w14:paraId="4AB10BB2"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Exposure Variable</w:t>
            </w:r>
          </w:p>
        </w:tc>
        <w:tc>
          <w:tcPr>
            <w:tcW w:w="0" w:type="auto"/>
            <w:tcBorders>
              <w:bottom w:val="single" w:sz="0" w:space="0" w:color="000000"/>
            </w:tcBorders>
            <w:vAlign w:val="center"/>
          </w:tcPr>
          <w:p w14:paraId="051A7DF0"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Mediator Variable</w:t>
            </w:r>
          </w:p>
        </w:tc>
        <w:tc>
          <w:tcPr>
            <w:tcW w:w="0" w:type="auto"/>
            <w:tcBorders>
              <w:bottom w:val="single" w:sz="0" w:space="0" w:color="000000"/>
            </w:tcBorders>
            <w:vAlign w:val="center"/>
          </w:tcPr>
          <w:p w14:paraId="645E2498"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Adjustment</w:t>
            </w:r>
          </w:p>
        </w:tc>
        <w:tc>
          <w:tcPr>
            <w:tcW w:w="0" w:type="auto"/>
            <w:tcBorders>
              <w:bottom w:val="single" w:sz="0" w:space="0" w:color="000000"/>
            </w:tcBorders>
            <w:vAlign w:val="center"/>
          </w:tcPr>
          <w:p w14:paraId="139A578A" w14:textId="77777777" w:rsidR="000B0457" w:rsidRDefault="00B83351">
            <w:pPr>
              <w:jc w:val="center"/>
              <w:rPr>
                <w:rFonts w:ascii="Times New Roman" w:hAnsi="Times New Roman" w:cs="Times New Roman"/>
                <w:b/>
                <w:bCs/>
                <w:sz w:val="20"/>
                <w:szCs w:val="20"/>
              </w:rPr>
            </w:pPr>
            <w:r w:rsidRPr="000B0457">
              <w:rPr>
                <w:rFonts w:ascii="Times New Roman" w:hAnsi="Times New Roman" w:cs="Times New Roman"/>
                <w:b/>
                <w:bCs/>
                <w:sz w:val="20"/>
                <w:szCs w:val="20"/>
              </w:rPr>
              <w:t>Total Effect</w:t>
            </w:r>
            <w:r w:rsidR="000B0457">
              <w:rPr>
                <w:rFonts w:ascii="Times New Roman" w:hAnsi="Times New Roman" w:cs="Times New Roman"/>
                <w:b/>
                <w:bCs/>
                <w:sz w:val="20"/>
                <w:szCs w:val="20"/>
              </w:rPr>
              <w:t xml:space="preserve"> </w:t>
            </w:r>
          </w:p>
          <w:p w14:paraId="0AAED535" w14:textId="7D21C548"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 xml:space="preserve"> HR (95% CI)</w:t>
            </w:r>
          </w:p>
        </w:tc>
        <w:tc>
          <w:tcPr>
            <w:tcW w:w="0" w:type="auto"/>
            <w:tcBorders>
              <w:bottom w:val="single" w:sz="0" w:space="0" w:color="000000"/>
            </w:tcBorders>
            <w:vAlign w:val="center"/>
          </w:tcPr>
          <w:p w14:paraId="7035FAA3" w14:textId="2D161BB0"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Natural Direct Effect (NDE)</w:t>
            </w:r>
            <w:r w:rsidR="000B0457">
              <w:rPr>
                <w:rFonts w:ascii="Times New Roman" w:hAnsi="Times New Roman" w:cs="Times New Roman"/>
                <w:b/>
                <w:bCs/>
                <w:sz w:val="20"/>
                <w:szCs w:val="20"/>
              </w:rPr>
              <w:t xml:space="preserve"> </w:t>
            </w:r>
            <w:r w:rsidRPr="000B0457">
              <w:rPr>
                <w:rFonts w:ascii="Times New Roman" w:hAnsi="Times New Roman" w:cs="Times New Roman"/>
                <w:b/>
                <w:bCs/>
                <w:sz w:val="20"/>
                <w:szCs w:val="20"/>
              </w:rPr>
              <w:t>HR (95% CI)</w:t>
            </w:r>
          </w:p>
        </w:tc>
        <w:tc>
          <w:tcPr>
            <w:tcW w:w="0" w:type="auto"/>
            <w:tcBorders>
              <w:bottom w:val="single" w:sz="0" w:space="0" w:color="000000"/>
            </w:tcBorders>
            <w:vAlign w:val="center"/>
          </w:tcPr>
          <w:p w14:paraId="61DD3BBE" w14:textId="239000FE"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Natural Indirect Effect (</w:t>
            </w:r>
            <w:proofErr w:type="gramStart"/>
            <w:r w:rsidRPr="000B0457">
              <w:rPr>
                <w:rFonts w:ascii="Times New Roman" w:hAnsi="Times New Roman" w:cs="Times New Roman"/>
                <w:b/>
                <w:bCs/>
                <w:sz w:val="20"/>
                <w:szCs w:val="20"/>
              </w:rPr>
              <w:t>NIE)</w:t>
            </w:r>
            <w:r w:rsidR="000B0457">
              <w:rPr>
                <w:rFonts w:ascii="Times New Roman" w:hAnsi="Times New Roman" w:cs="Times New Roman"/>
                <w:b/>
                <w:bCs/>
                <w:sz w:val="20"/>
                <w:szCs w:val="20"/>
              </w:rPr>
              <w:t xml:space="preserve"> </w:t>
            </w:r>
            <w:r w:rsidRPr="000B0457">
              <w:rPr>
                <w:rFonts w:ascii="Times New Roman" w:hAnsi="Times New Roman" w:cs="Times New Roman"/>
                <w:b/>
                <w:bCs/>
                <w:sz w:val="20"/>
                <w:szCs w:val="20"/>
              </w:rPr>
              <w:t xml:space="preserve"> HR</w:t>
            </w:r>
            <w:proofErr w:type="gramEnd"/>
            <w:r w:rsidRPr="000B0457">
              <w:rPr>
                <w:rFonts w:ascii="Times New Roman" w:hAnsi="Times New Roman" w:cs="Times New Roman"/>
                <w:b/>
                <w:bCs/>
                <w:sz w:val="20"/>
                <w:szCs w:val="20"/>
              </w:rPr>
              <w:t xml:space="preserve"> (95% CI)</w:t>
            </w:r>
          </w:p>
        </w:tc>
        <w:tc>
          <w:tcPr>
            <w:tcW w:w="0" w:type="auto"/>
            <w:tcBorders>
              <w:bottom w:val="single" w:sz="0" w:space="0" w:color="000000"/>
            </w:tcBorders>
            <w:vAlign w:val="center"/>
          </w:tcPr>
          <w:p w14:paraId="7F49E407"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Proportion Mediated (%) (95% CI)</w:t>
            </w:r>
          </w:p>
        </w:tc>
        <w:tc>
          <w:tcPr>
            <w:tcW w:w="0" w:type="auto"/>
            <w:tcBorders>
              <w:bottom w:val="single" w:sz="0" w:space="0" w:color="000000"/>
            </w:tcBorders>
            <w:vAlign w:val="center"/>
          </w:tcPr>
          <w:p w14:paraId="50BDD1FC"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P-value (NIE)</w:t>
            </w:r>
          </w:p>
        </w:tc>
        <w:tc>
          <w:tcPr>
            <w:tcW w:w="0" w:type="auto"/>
            <w:tcBorders>
              <w:bottom w:val="single" w:sz="0" w:space="0" w:color="000000"/>
            </w:tcBorders>
            <w:vAlign w:val="center"/>
          </w:tcPr>
          <w:p w14:paraId="1D2D8AB0"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P-value (PM)</w:t>
            </w:r>
          </w:p>
        </w:tc>
      </w:tr>
      <w:tr w:rsidR="00F25408" w:rsidRPr="000B0457" w14:paraId="765B0798" w14:textId="77777777">
        <w:tc>
          <w:tcPr>
            <w:tcW w:w="0" w:type="auto"/>
            <w:vAlign w:val="center"/>
          </w:tcPr>
          <w:p w14:paraId="45B7F32B"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Baseline Models</w:t>
            </w:r>
          </w:p>
        </w:tc>
        <w:tc>
          <w:tcPr>
            <w:tcW w:w="0" w:type="auto"/>
            <w:vAlign w:val="center"/>
          </w:tcPr>
          <w:p w14:paraId="3CF8886C" w14:textId="77777777" w:rsidR="00F25408" w:rsidRPr="000B0457" w:rsidRDefault="00F25408">
            <w:pPr>
              <w:jc w:val="center"/>
              <w:rPr>
                <w:rFonts w:ascii="Times New Roman" w:hAnsi="Times New Roman" w:cs="Times New Roman"/>
                <w:sz w:val="20"/>
                <w:szCs w:val="20"/>
              </w:rPr>
            </w:pPr>
          </w:p>
        </w:tc>
        <w:tc>
          <w:tcPr>
            <w:tcW w:w="0" w:type="auto"/>
            <w:vAlign w:val="center"/>
          </w:tcPr>
          <w:p w14:paraId="25965BDF" w14:textId="77777777" w:rsidR="00F25408" w:rsidRPr="000B0457" w:rsidRDefault="00F25408">
            <w:pPr>
              <w:jc w:val="center"/>
              <w:rPr>
                <w:rFonts w:ascii="Times New Roman" w:hAnsi="Times New Roman" w:cs="Times New Roman"/>
                <w:sz w:val="20"/>
                <w:szCs w:val="20"/>
              </w:rPr>
            </w:pPr>
          </w:p>
        </w:tc>
        <w:tc>
          <w:tcPr>
            <w:tcW w:w="0" w:type="auto"/>
            <w:vAlign w:val="center"/>
          </w:tcPr>
          <w:p w14:paraId="144F3C2D" w14:textId="77777777" w:rsidR="00F25408" w:rsidRPr="000B0457" w:rsidRDefault="00F25408">
            <w:pPr>
              <w:jc w:val="center"/>
              <w:rPr>
                <w:rFonts w:ascii="Times New Roman" w:hAnsi="Times New Roman" w:cs="Times New Roman"/>
                <w:sz w:val="20"/>
                <w:szCs w:val="20"/>
              </w:rPr>
            </w:pPr>
          </w:p>
        </w:tc>
        <w:tc>
          <w:tcPr>
            <w:tcW w:w="0" w:type="auto"/>
            <w:vAlign w:val="center"/>
          </w:tcPr>
          <w:p w14:paraId="3EC44CBC" w14:textId="77777777" w:rsidR="00F25408" w:rsidRPr="000B0457" w:rsidRDefault="00F25408">
            <w:pPr>
              <w:jc w:val="center"/>
              <w:rPr>
                <w:rFonts w:ascii="Times New Roman" w:hAnsi="Times New Roman" w:cs="Times New Roman"/>
                <w:sz w:val="20"/>
                <w:szCs w:val="20"/>
              </w:rPr>
            </w:pPr>
          </w:p>
        </w:tc>
        <w:tc>
          <w:tcPr>
            <w:tcW w:w="0" w:type="auto"/>
            <w:vAlign w:val="center"/>
          </w:tcPr>
          <w:p w14:paraId="0BC09F98" w14:textId="77777777" w:rsidR="00F25408" w:rsidRPr="000B0457" w:rsidRDefault="00F25408">
            <w:pPr>
              <w:jc w:val="center"/>
              <w:rPr>
                <w:rFonts w:ascii="Times New Roman" w:hAnsi="Times New Roman" w:cs="Times New Roman"/>
                <w:sz w:val="20"/>
                <w:szCs w:val="20"/>
              </w:rPr>
            </w:pPr>
          </w:p>
        </w:tc>
        <w:tc>
          <w:tcPr>
            <w:tcW w:w="0" w:type="auto"/>
            <w:vAlign w:val="center"/>
          </w:tcPr>
          <w:p w14:paraId="77B72EC8" w14:textId="77777777" w:rsidR="00F25408" w:rsidRPr="000B0457" w:rsidRDefault="00F25408">
            <w:pPr>
              <w:jc w:val="center"/>
              <w:rPr>
                <w:rFonts w:ascii="Times New Roman" w:hAnsi="Times New Roman" w:cs="Times New Roman"/>
                <w:sz w:val="20"/>
                <w:szCs w:val="20"/>
              </w:rPr>
            </w:pPr>
          </w:p>
        </w:tc>
        <w:tc>
          <w:tcPr>
            <w:tcW w:w="0" w:type="auto"/>
            <w:vAlign w:val="center"/>
          </w:tcPr>
          <w:p w14:paraId="498AA112" w14:textId="77777777" w:rsidR="00F25408" w:rsidRPr="000B0457" w:rsidRDefault="00F25408">
            <w:pPr>
              <w:jc w:val="center"/>
              <w:rPr>
                <w:rFonts w:ascii="Times New Roman" w:hAnsi="Times New Roman" w:cs="Times New Roman"/>
                <w:sz w:val="20"/>
                <w:szCs w:val="20"/>
              </w:rPr>
            </w:pPr>
          </w:p>
        </w:tc>
        <w:tc>
          <w:tcPr>
            <w:tcW w:w="0" w:type="auto"/>
            <w:vAlign w:val="center"/>
          </w:tcPr>
          <w:p w14:paraId="66521776" w14:textId="77777777" w:rsidR="00F25408" w:rsidRPr="000B0457" w:rsidRDefault="00F25408">
            <w:pPr>
              <w:jc w:val="center"/>
              <w:rPr>
                <w:rFonts w:ascii="Times New Roman" w:hAnsi="Times New Roman" w:cs="Times New Roman"/>
                <w:sz w:val="20"/>
                <w:szCs w:val="20"/>
              </w:rPr>
            </w:pPr>
          </w:p>
        </w:tc>
      </w:tr>
      <w:tr w:rsidR="00F25408" w:rsidRPr="000B0457" w14:paraId="618BDCDF" w14:textId="77777777">
        <w:tc>
          <w:tcPr>
            <w:tcW w:w="0" w:type="auto"/>
            <w:vAlign w:val="center"/>
          </w:tcPr>
          <w:p w14:paraId="1D3F4A7B"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ADL Score</w:t>
            </w:r>
          </w:p>
        </w:tc>
        <w:tc>
          <w:tcPr>
            <w:tcW w:w="0" w:type="auto"/>
            <w:vAlign w:val="center"/>
          </w:tcPr>
          <w:p w14:paraId="201918B1"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CES-D Score</w:t>
            </w:r>
          </w:p>
        </w:tc>
        <w:tc>
          <w:tcPr>
            <w:tcW w:w="0" w:type="auto"/>
            <w:vAlign w:val="center"/>
          </w:tcPr>
          <w:p w14:paraId="7DD50721"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Unadjusted</w:t>
            </w:r>
          </w:p>
        </w:tc>
        <w:tc>
          <w:tcPr>
            <w:tcW w:w="0" w:type="auto"/>
            <w:vAlign w:val="center"/>
          </w:tcPr>
          <w:p w14:paraId="707F6C1B"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1.07 (1.03 - 1.12)</w:t>
            </w:r>
          </w:p>
        </w:tc>
        <w:tc>
          <w:tcPr>
            <w:tcW w:w="0" w:type="auto"/>
            <w:vAlign w:val="center"/>
          </w:tcPr>
          <w:p w14:paraId="63633008"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1.04 (0.99 - 1.09)</w:t>
            </w:r>
          </w:p>
        </w:tc>
        <w:tc>
          <w:tcPr>
            <w:tcW w:w="0" w:type="auto"/>
            <w:vAlign w:val="center"/>
          </w:tcPr>
          <w:p w14:paraId="6F369638"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1.03 (1.01 - 1.05)</w:t>
            </w:r>
          </w:p>
        </w:tc>
        <w:tc>
          <w:tcPr>
            <w:tcW w:w="0" w:type="auto"/>
            <w:vAlign w:val="center"/>
          </w:tcPr>
          <w:p w14:paraId="1C2DD117"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42.2 (14.0 - 126.1)</w:t>
            </w:r>
          </w:p>
        </w:tc>
        <w:tc>
          <w:tcPr>
            <w:tcW w:w="0" w:type="auto"/>
            <w:vAlign w:val="center"/>
          </w:tcPr>
          <w:p w14:paraId="24BB24D1"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0.002</w:t>
            </w:r>
          </w:p>
        </w:tc>
        <w:tc>
          <w:tcPr>
            <w:tcW w:w="0" w:type="auto"/>
            <w:vAlign w:val="center"/>
          </w:tcPr>
          <w:p w14:paraId="3A802803"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0.004</w:t>
            </w:r>
          </w:p>
        </w:tc>
      </w:tr>
      <w:tr w:rsidR="00F25408" w:rsidRPr="000B0457" w14:paraId="5E294BDE" w14:textId="77777777">
        <w:tc>
          <w:tcPr>
            <w:tcW w:w="0" w:type="auto"/>
            <w:vAlign w:val="center"/>
          </w:tcPr>
          <w:p w14:paraId="4DA5326C"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ADL Score</w:t>
            </w:r>
          </w:p>
        </w:tc>
        <w:tc>
          <w:tcPr>
            <w:tcW w:w="0" w:type="auto"/>
            <w:vAlign w:val="center"/>
          </w:tcPr>
          <w:p w14:paraId="558C4A26"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CES-D Score</w:t>
            </w:r>
          </w:p>
        </w:tc>
        <w:tc>
          <w:tcPr>
            <w:tcW w:w="0" w:type="auto"/>
            <w:vAlign w:val="center"/>
          </w:tcPr>
          <w:p w14:paraId="020589BF" w14:textId="1B32DEF2"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Adjusted</w:t>
            </w:r>
            <w:r w:rsidR="000B0457">
              <w:rPr>
                <w:rFonts w:ascii="Times New Roman" w:hAnsi="Times New Roman" w:cs="Times New Roman"/>
                <w:sz w:val="20"/>
                <w:szCs w:val="20"/>
              </w:rPr>
              <w:t xml:space="preserve"> </w:t>
            </w:r>
          </w:p>
        </w:tc>
        <w:tc>
          <w:tcPr>
            <w:tcW w:w="0" w:type="auto"/>
            <w:vAlign w:val="center"/>
          </w:tcPr>
          <w:p w14:paraId="2982141E"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1.06 (1.01 - 1.11)</w:t>
            </w:r>
          </w:p>
        </w:tc>
        <w:tc>
          <w:tcPr>
            <w:tcW w:w="0" w:type="auto"/>
            <w:vAlign w:val="center"/>
          </w:tcPr>
          <w:p w14:paraId="7E4A916C"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1.03 (0.98 - 1.09)</w:t>
            </w:r>
          </w:p>
        </w:tc>
        <w:tc>
          <w:tcPr>
            <w:tcW w:w="0" w:type="auto"/>
            <w:vAlign w:val="center"/>
          </w:tcPr>
          <w:p w14:paraId="0DB9DADE"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1.03 (1.01 - 1.05)</w:t>
            </w:r>
          </w:p>
        </w:tc>
        <w:tc>
          <w:tcPr>
            <w:tcW w:w="0" w:type="auto"/>
            <w:vAlign w:val="center"/>
          </w:tcPr>
          <w:p w14:paraId="2E0E293A"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50.2 (17.2 - 213.9)</w:t>
            </w:r>
          </w:p>
        </w:tc>
        <w:tc>
          <w:tcPr>
            <w:tcW w:w="0" w:type="auto"/>
            <w:vAlign w:val="center"/>
          </w:tcPr>
          <w:p w14:paraId="705060D9"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0.002</w:t>
            </w:r>
          </w:p>
        </w:tc>
        <w:tc>
          <w:tcPr>
            <w:tcW w:w="0" w:type="auto"/>
            <w:vAlign w:val="center"/>
          </w:tcPr>
          <w:p w14:paraId="56A0494F"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0.019</w:t>
            </w:r>
          </w:p>
        </w:tc>
      </w:tr>
      <w:tr w:rsidR="00F25408" w:rsidRPr="000B0457" w14:paraId="6467F115" w14:textId="77777777">
        <w:tc>
          <w:tcPr>
            <w:tcW w:w="0" w:type="auto"/>
            <w:vAlign w:val="center"/>
          </w:tcPr>
          <w:p w14:paraId="71505A43"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CES-D Score</w:t>
            </w:r>
          </w:p>
        </w:tc>
        <w:tc>
          <w:tcPr>
            <w:tcW w:w="0" w:type="auto"/>
            <w:vAlign w:val="center"/>
          </w:tcPr>
          <w:p w14:paraId="32A3BBA5"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ADL Score</w:t>
            </w:r>
          </w:p>
        </w:tc>
        <w:tc>
          <w:tcPr>
            <w:tcW w:w="0" w:type="auto"/>
            <w:vAlign w:val="center"/>
          </w:tcPr>
          <w:p w14:paraId="4E6273CB"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Unadjusted</w:t>
            </w:r>
          </w:p>
        </w:tc>
        <w:tc>
          <w:tcPr>
            <w:tcW w:w="0" w:type="auto"/>
            <w:vAlign w:val="center"/>
          </w:tcPr>
          <w:p w14:paraId="32011E32"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1.02 (1.01 - 1.04)</w:t>
            </w:r>
          </w:p>
        </w:tc>
        <w:tc>
          <w:tcPr>
            <w:tcW w:w="0" w:type="auto"/>
            <w:vAlign w:val="center"/>
          </w:tcPr>
          <w:p w14:paraId="6FF029C5"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1.02 (1.01 - 1.03)</w:t>
            </w:r>
          </w:p>
        </w:tc>
        <w:tc>
          <w:tcPr>
            <w:tcW w:w="0" w:type="auto"/>
            <w:vAlign w:val="center"/>
          </w:tcPr>
          <w:p w14:paraId="6B7F60F3"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1.00 (1.00 - 1.01)</w:t>
            </w:r>
          </w:p>
        </w:tc>
        <w:tc>
          <w:tcPr>
            <w:tcW w:w="0" w:type="auto"/>
            <w:vAlign w:val="center"/>
          </w:tcPr>
          <w:p w14:paraId="10B74A2F"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13.0 (-2.3 - 40.3)</w:t>
            </w:r>
          </w:p>
        </w:tc>
        <w:tc>
          <w:tcPr>
            <w:tcW w:w="0" w:type="auto"/>
            <w:vAlign w:val="center"/>
          </w:tcPr>
          <w:p w14:paraId="62A5A2F2"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0.085</w:t>
            </w:r>
          </w:p>
        </w:tc>
        <w:tc>
          <w:tcPr>
            <w:tcW w:w="0" w:type="auto"/>
            <w:vAlign w:val="center"/>
          </w:tcPr>
          <w:p w14:paraId="07690EC3"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0.085</w:t>
            </w:r>
          </w:p>
        </w:tc>
      </w:tr>
      <w:tr w:rsidR="00F25408" w:rsidRPr="000B0457" w14:paraId="6E579911" w14:textId="77777777">
        <w:tc>
          <w:tcPr>
            <w:tcW w:w="0" w:type="auto"/>
            <w:vAlign w:val="center"/>
          </w:tcPr>
          <w:p w14:paraId="02988CD9"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CES-D Score</w:t>
            </w:r>
          </w:p>
        </w:tc>
        <w:tc>
          <w:tcPr>
            <w:tcW w:w="0" w:type="auto"/>
            <w:vAlign w:val="center"/>
          </w:tcPr>
          <w:p w14:paraId="3160089F"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ADL Score</w:t>
            </w:r>
          </w:p>
        </w:tc>
        <w:tc>
          <w:tcPr>
            <w:tcW w:w="0" w:type="auto"/>
            <w:vAlign w:val="center"/>
          </w:tcPr>
          <w:p w14:paraId="4C37808C" w14:textId="3A756B26"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Adjusted</w:t>
            </w:r>
            <w:r w:rsidR="000B0457">
              <w:rPr>
                <w:rFonts w:ascii="Times New Roman" w:hAnsi="Times New Roman" w:cs="Times New Roman"/>
                <w:sz w:val="20"/>
                <w:szCs w:val="20"/>
              </w:rPr>
              <w:t xml:space="preserve"> </w:t>
            </w:r>
          </w:p>
        </w:tc>
        <w:tc>
          <w:tcPr>
            <w:tcW w:w="0" w:type="auto"/>
            <w:vAlign w:val="center"/>
          </w:tcPr>
          <w:p w14:paraId="084B61F7"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1.03 (1.01 - 1.04)</w:t>
            </w:r>
          </w:p>
        </w:tc>
        <w:tc>
          <w:tcPr>
            <w:tcW w:w="0" w:type="auto"/>
            <w:vAlign w:val="center"/>
          </w:tcPr>
          <w:p w14:paraId="4EF9F1CF"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1.02 (1.01 - 1.04)</w:t>
            </w:r>
          </w:p>
        </w:tc>
        <w:tc>
          <w:tcPr>
            <w:tcW w:w="0" w:type="auto"/>
            <w:vAlign w:val="center"/>
          </w:tcPr>
          <w:p w14:paraId="65BE6B10"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1.00 (1.00 - 1.01)</w:t>
            </w:r>
          </w:p>
        </w:tc>
        <w:tc>
          <w:tcPr>
            <w:tcW w:w="0" w:type="auto"/>
            <w:vAlign w:val="center"/>
          </w:tcPr>
          <w:p w14:paraId="551E2EFC"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8.2 (-5.5 - 28.1)</w:t>
            </w:r>
          </w:p>
        </w:tc>
        <w:tc>
          <w:tcPr>
            <w:tcW w:w="0" w:type="auto"/>
            <w:vAlign w:val="center"/>
          </w:tcPr>
          <w:p w14:paraId="01FD6227"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0.239</w:t>
            </w:r>
          </w:p>
        </w:tc>
        <w:tc>
          <w:tcPr>
            <w:tcW w:w="0" w:type="auto"/>
            <w:vAlign w:val="center"/>
          </w:tcPr>
          <w:p w14:paraId="70AB1528"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0.239</w:t>
            </w:r>
          </w:p>
        </w:tc>
      </w:tr>
      <w:tr w:rsidR="00F25408" w:rsidRPr="000B0457" w14:paraId="71C71CEF" w14:textId="77777777">
        <w:tc>
          <w:tcPr>
            <w:tcW w:w="0" w:type="auto"/>
            <w:vAlign w:val="center"/>
          </w:tcPr>
          <w:p w14:paraId="3198038F"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Cumulative Models</w:t>
            </w:r>
          </w:p>
        </w:tc>
        <w:tc>
          <w:tcPr>
            <w:tcW w:w="0" w:type="auto"/>
            <w:vAlign w:val="center"/>
          </w:tcPr>
          <w:p w14:paraId="2FCD4B75" w14:textId="77777777" w:rsidR="00F25408" w:rsidRPr="000B0457" w:rsidRDefault="00F25408">
            <w:pPr>
              <w:jc w:val="center"/>
              <w:rPr>
                <w:rFonts w:ascii="Times New Roman" w:hAnsi="Times New Roman" w:cs="Times New Roman"/>
                <w:sz w:val="20"/>
                <w:szCs w:val="20"/>
              </w:rPr>
            </w:pPr>
          </w:p>
        </w:tc>
        <w:tc>
          <w:tcPr>
            <w:tcW w:w="0" w:type="auto"/>
            <w:vAlign w:val="center"/>
          </w:tcPr>
          <w:p w14:paraId="71D49E6B" w14:textId="77777777" w:rsidR="00F25408" w:rsidRPr="000B0457" w:rsidRDefault="00F25408">
            <w:pPr>
              <w:jc w:val="center"/>
              <w:rPr>
                <w:rFonts w:ascii="Times New Roman" w:hAnsi="Times New Roman" w:cs="Times New Roman"/>
                <w:sz w:val="20"/>
                <w:szCs w:val="20"/>
              </w:rPr>
            </w:pPr>
          </w:p>
        </w:tc>
        <w:tc>
          <w:tcPr>
            <w:tcW w:w="0" w:type="auto"/>
            <w:vAlign w:val="center"/>
          </w:tcPr>
          <w:p w14:paraId="04CE63B0" w14:textId="77777777" w:rsidR="00F25408" w:rsidRPr="000B0457" w:rsidRDefault="00F25408">
            <w:pPr>
              <w:jc w:val="center"/>
              <w:rPr>
                <w:rFonts w:ascii="Times New Roman" w:hAnsi="Times New Roman" w:cs="Times New Roman"/>
                <w:sz w:val="20"/>
                <w:szCs w:val="20"/>
              </w:rPr>
            </w:pPr>
          </w:p>
        </w:tc>
        <w:tc>
          <w:tcPr>
            <w:tcW w:w="0" w:type="auto"/>
            <w:vAlign w:val="center"/>
          </w:tcPr>
          <w:p w14:paraId="7CD3114E" w14:textId="77777777" w:rsidR="00F25408" w:rsidRPr="000B0457" w:rsidRDefault="00F25408">
            <w:pPr>
              <w:jc w:val="center"/>
              <w:rPr>
                <w:rFonts w:ascii="Times New Roman" w:hAnsi="Times New Roman" w:cs="Times New Roman"/>
                <w:sz w:val="20"/>
                <w:szCs w:val="20"/>
              </w:rPr>
            </w:pPr>
          </w:p>
        </w:tc>
        <w:tc>
          <w:tcPr>
            <w:tcW w:w="0" w:type="auto"/>
            <w:vAlign w:val="center"/>
          </w:tcPr>
          <w:p w14:paraId="484BCA48" w14:textId="77777777" w:rsidR="00F25408" w:rsidRPr="000B0457" w:rsidRDefault="00F25408">
            <w:pPr>
              <w:jc w:val="center"/>
              <w:rPr>
                <w:rFonts w:ascii="Times New Roman" w:hAnsi="Times New Roman" w:cs="Times New Roman"/>
                <w:sz w:val="20"/>
                <w:szCs w:val="20"/>
              </w:rPr>
            </w:pPr>
          </w:p>
        </w:tc>
        <w:tc>
          <w:tcPr>
            <w:tcW w:w="0" w:type="auto"/>
            <w:vAlign w:val="center"/>
          </w:tcPr>
          <w:p w14:paraId="1E9C0A32" w14:textId="77777777" w:rsidR="00F25408" w:rsidRPr="000B0457" w:rsidRDefault="00F25408">
            <w:pPr>
              <w:jc w:val="center"/>
              <w:rPr>
                <w:rFonts w:ascii="Times New Roman" w:hAnsi="Times New Roman" w:cs="Times New Roman"/>
                <w:sz w:val="20"/>
                <w:szCs w:val="20"/>
              </w:rPr>
            </w:pPr>
          </w:p>
        </w:tc>
        <w:tc>
          <w:tcPr>
            <w:tcW w:w="0" w:type="auto"/>
            <w:vAlign w:val="center"/>
          </w:tcPr>
          <w:p w14:paraId="633FD211" w14:textId="77777777" w:rsidR="00F25408" w:rsidRPr="000B0457" w:rsidRDefault="00F25408">
            <w:pPr>
              <w:jc w:val="center"/>
              <w:rPr>
                <w:rFonts w:ascii="Times New Roman" w:hAnsi="Times New Roman" w:cs="Times New Roman"/>
                <w:sz w:val="20"/>
                <w:szCs w:val="20"/>
              </w:rPr>
            </w:pPr>
          </w:p>
        </w:tc>
        <w:tc>
          <w:tcPr>
            <w:tcW w:w="0" w:type="auto"/>
            <w:vAlign w:val="center"/>
          </w:tcPr>
          <w:p w14:paraId="226AAEF8" w14:textId="77777777" w:rsidR="00F25408" w:rsidRPr="000B0457" w:rsidRDefault="00F25408">
            <w:pPr>
              <w:jc w:val="center"/>
              <w:rPr>
                <w:rFonts w:ascii="Times New Roman" w:hAnsi="Times New Roman" w:cs="Times New Roman"/>
                <w:sz w:val="20"/>
                <w:szCs w:val="20"/>
              </w:rPr>
            </w:pPr>
          </w:p>
        </w:tc>
      </w:tr>
      <w:tr w:rsidR="00F25408" w:rsidRPr="000B0457" w14:paraId="7E21B05C" w14:textId="77777777">
        <w:tc>
          <w:tcPr>
            <w:tcW w:w="0" w:type="auto"/>
            <w:vAlign w:val="center"/>
          </w:tcPr>
          <w:p w14:paraId="7EADE98B"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Cumulative Average ADL</w:t>
            </w:r>
          </w:p>
        </w:tc>
        <w:tc>
          <w:tcPr>
            <w:tcW w:w="0" w:type="auto"/>
            <w:vAlign w:val="center"/>
          </w:tcPr>
          <w:p w14:paraId="70E568E9"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Cumulative Average CES-D</w:t>
            </w:r>
          </w:p>
        </w:tc>
        <w:tc>
          <w:tcPr>
            <w:tcW w:w="0" w:type="auto"/>
            <w:vAlign w:val="center"/>
          </w:tcPr>
          <w:p w14:paraId="2BF6B6BF"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Unadjusted</w:t>
            </w:r>
          </w:p>
        </w:tc>
        <w:tc>
          <w:tcPr>
            <w:tcW w:w="0" w:type="auto"/>
            <w:vAlign w:val="center"/>
          </w:tcPr>
          <w:p w14:paraId="32CD79DB"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1.25 (1.20 - 1.31)</w:t>
            </w:r>
          </w:p>
        </w:tc>
        <w:tc>
          <w:tcPr>
            <w:tcW w:w="0" w:type="auto"/>
            <w:vAlign w:val="center"/>
          </w:tcPr>
          <w:p w14:paraId="0FC89071"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1.17 (1.11 - 1.23)</w:t>
            </w:r>
          </w:p>
        </w:tc>
        <w:tc>
          <w:tcPr>
            <w:tcW w:w="0" w:type="auto"/>
            <w:vAlign w:val="center"/>
          </w:tcPr>
          <w:p w14:paraId="1C59F647"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1.07 (1.04 - 1.11)</w:t>
            </w:r>
          </w:p>
        </w:tc>
        <w:tc>
          <w:tcPr>
            <w:tcW w:w="0" w:type="auto"/>
            <w:vAlign w:val="center"/>
          </w:tcPr>
          <w:p w14:paraId="4249B040"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34.0 (18.1 - 51.3)</w:t>
            </w:r>
          </w:p>
        </w:tc>
        <w:tc>
          <w:tcPr>
            <w:tcW w:w="0" w:type="auto"/>
            <w:vAlign w:val="center"/>
          </w:tcPr>
          <w:p w14:paraId="1FFB5268"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&lt;0.001</w:t>
            </w:r>
          </w:p>
        </w:tc>
        <w:tc>
          <w:tcPr>
            <w:tcW w:w="0" w:type="auto"/>
            <w:vAlign w:val="center"/>
          </w:tcPr>
          <w:p w14:paraId="07951A61"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&lt;0.001</w:t>
            </w:r>
          </w:p>
        </w:tc>
      </w:tr>
      <w:tr w:rsidR="00F25408" w:rsidRPr="000B0457" w14:paraId="593981D7" w14:textId="77777777">
        <w:tc>
          <w:tcPr>
            <w:tcW w:w="0" w:type="auto"/>
            <w:vAlign w:val="center"/>
          </w:tcPr>
          <w:p w14:paraId="6D77B14E"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Cumulative Average ADL</w:t>
            </w:r>
          </w:p>
        </w:tc>
        <w:tc>
          <w:tcPr>
            <w:tcW w:w="0" w:type="auto"/>
            <w:vAlign w:val="center"/>
          </w:tcPr>
          <w:p w14:paraId="23D9EF27"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Cumulative Average CES-D</w:t>
            </w:r>
          </w:p>
        </w:tc>
        <w:tc>
          <w:tcPr>
            <w:tcW w:w="0" w:type="auto"/>
            <w:vAlign w:val="center"/>
          </w:tcPr>
          <w:p w14:paraId="7AB881B5" w14:textId="504476CF"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Adjusted</w:t>
            </w:r>
            <w:r w:rsidR="000B0457">
              <w:rPr>
                <w:rFonts w:ascii="Times New Roman" w:hAnsi="Times New Roman" w:cs="Times New Roman"/>
                <w:sz w:val="20"/>
                <w:szCs w:val="20"/>
              </w:rPr>
              <w:t xml:space="preserve"> </w:t>
            </w:r>
          </w:p>
        </w:tc>
        <w:tc>
          <w:tcPr>
            <w:tcW w:w="0" w:type="auto"/>
            <w:vAlign w:val="center"/>
          </w:tcPr>
          <w:p w14:paraId="1354F518"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1.23 (1.17 - 1.30)</w:t>
            </w:r>
          </w:p>
        </w:tc>
        <w:tc>
          <w:tcPr>
            <w:tcW w:w="0" w:type="auto"/>
            <w:vAlign w:val="center"/>
          </w:tcPr>
          <w:p w14:paraId="3D4B4268"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1.14 (1.08 - 1.21)</w:t>
            </w:r>
          </w:p>
        </w:tc>
        <w:tc>
          <w:tcPr>
            <w:tcW w:w="0" w:type="auto"/>
            <w:vAlign w:val="center"/>
          </w:tcPr>
          <w:p w14:paraId="0B3F5B76"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1.08 (1.04 - 1.11)</w:t>
            </w:r>
          </w:p>
        </w:tc>
        <w:tc>
          <w:tcPr>
            <w:tcW w:w="0" w:type="auto"/>
            <w:vAlign w:val="center"/>
          </w:tcPr>
          <w:p w14:paraId="18A482E1"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37.9 (20.5 - 57.9)</w:t>
            </w:r>
          </w:p>
        </w:tc>
        <w:tc>
          <w:tcPr>
            <w:tcW w:w="0" w:type="auto"/>
            <w:vAlign w:val="center"/>
          </w:tcPr>
          <w:p w14:paraId="7A3DB060"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&lt;0.001</w:t>
            </w:r>
          </w:p>
        </w:tc>
        <w:tc>
          <w:tcPr>
            <w:tcW w:w="0" w:type="auto"/>
            <w:vAlign w:val="center"/>
          </w:tcPr>
          <w:p w14:paraId="2BA44D62"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&lt;0.001</w:t>
            </w:r>
          </w:p>
        </w:tc>
      </w:tr>
      <w:tr w:rsidR="00F25408" w:rsidRPr="000B0457" w14:paraId="0C884623" w14:textId="77777777">
        <w:tc>
          <w:tcPr>
            <w:tcW w:w="0" w:type="auto"/>
            <w:vAlign w:val="center"/>
          </w:tcPr>
          <w:p w14:paraId="0E36FBC3"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Cumulative Average CES-D</w:t>
            </w:r>
          </w:p>
        </w:tc>
        <w:tc>
          <w:tcPr>
            <w:tcW w:w="0" w:type="auto"/>
            <w:vAlign w:val="center"/>
          </w:tcPr>
          <w:p w14:paraId="6E651578"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Cumulative Average ADL</w:t>
            </w:r>
          </w:p>
        </w:tc>
        <w:tc>
          <w:tcPr>
            <w:tcW w:w="0" w:type="auto"/>
            <w:vAlign w:val="center"/>
          </w:tcPr>
          <w:p w14:paraId="36F58E30"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Unadjusted</w:t>
            </w:r>
          </w:p>
        </w:tc>
        <w:tc>
          <w:tcPr>
            <w:tcW w:w="0" w:type="auto"/>
            <w:vAlign w:val="center"/>
          </w:tcPr>
          <w:p w14:paraId="055C8901"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1.05 (1.04 - 1.07)</w:t>
            </w:r>
          </w:p>
        </w:tc>
        <w:tc>
          <w:tcPr>
            <w:tcW w:w="0" w:type="auto"/>
            <w:vAlign w:val="center"/>
          </w:tcPr>
          <w:p w14:paraId="4A009C5E"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1.04 (1.02 - 1.05)</w:t>
            </w:r>
          </w:p>
        </w:tc>
        <w:tc>
          <w:tcPr>
            <w:tcW w:w="0" w:type="auto"/>
            <w:vAlign w:val="center"/>
          </w:tcPr>
          <w:p w14:paraId="147B940C"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1.02 (1.01 - 1.02)</w:t>
            </w:r>
          </w:p>
        </w:tc>
        <w:tc>
          <w:tcPr>
            <w:tcW w:w="0" w:type="auto"/>
            <w:vAlign w:val="center"/>
          </w:tcPr>
          <w:p w14:paraId="63EB584A"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33.4 (19.6 - 54.5)</w:t>
            </w:r>
          </w:p>
        </w:tc>
        <w:tc>
          <w:tcPr>
            <w:tcW w:w="0" w:type="auto"/>
            <w:vAlign w:val="center"/>
          </w:tcPr>
          <w:p w14:paraId="56A6F71B"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&lt;0.001</w:t>
            </w:r>
          </w:p>
        </w:tc>
        <w:tc>
          <w:tcPr>
            <w:tcW w:w="0" w:type="auto"/>
            <w:vAlign w:val="center"/>
          </w:tcPr>
          <w:p w14:paraId="5E62BA0C"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&lt;0.001</w:t>
            </w:r>
          </w:p>
        </w:tc>
      </w:tr>
      <w:tr w:rsidR="00F25408" w:rsidRPr="000B0457" w14:paraId="1C716BE6" w14:textId="77777777">
        <w:tc>
          <w:tcPr>
            <w:tcW w:w="0" w:type="auto"/>
            <w:vAlign w:val="center"/>
          </w:tcPr>
          <w:p w14:paraId="62F77625"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b/>
                <w:bCs/>
                <w:sz w:val="20"/>
                <w:szCs w:val="20"/>
              </w:rPr>
              <w:t>Cumulative Average CES-D</w:t>
            </w:r>
          </w:p>
        </w:tc>
        <w:tc>
          <w:tcPr>
            <w:tcW w:w="0" w:type="auto"/>
            <w:vAlign w:val="center"/>
          </w:tcPr>
          <w:p w14:paraId="4A7C4394"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Cumulative Average ADL</w:t>
            </w:r>
          </w:p>
        </w:tc>
        <w:tc>
          <w:tcPr>
            <w:tcW w:w="0" w:type="auto"/>
            <w:vAlign w:val="center"/>
          </w:tcPr>
          <w:p w14:paraId="1C397250" w14:textId="5A3831C8"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Adjusted</w:t>
            </w:r>
            <w:r w:rsidR="000B0457">
              <w:rPr>
                <w:rFonts w:ascii="Times New Roman" w:hAnsi="Times New Roman" w:cs="Times New Roman"/>
                <w:sz w:val="20"/>
                <w:szCs w:val="20"/>
              </w:rPr>
              <w:t xml:space="preserve"> </w:t>
            </w:r>
          </w:p>
        </w:tc>
        <w:tc>
          <w:tcPr>
            <w:tcW w:w="0" w:type="auto"/>
            <w:vAlign w:val="center"/>
          </w:tcPr>
          <w:p w14:paraId="62E32FF7"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1.06 (1.04 - 1.07)</w:t>
            </w:r>
          </w:p>
        </w:tc>
        <w:tc>
          <w:tcPr>
            <w:tcW w:w="0" w:type="auto"/>
            <w:vAlign w:val="center"/>
          </w:tcPr>
          <w:p w14:paraId="40B40CD1"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1.04 (1.02 - 1.06)</w:t>
            </w:r>
          </w:p>
        </w:tc>
        <w:tc>
          <w:tcPr>
            <w:tcW w:w="0" w:type="auto"/>
            <w:vAlign w:val="center"/>
          </w:tcPr>
          <w:p w14:paraId="565C91F4"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1.01 (1.01 - 1.02)</w:t>
            </w:r>
          </w:p>
        </w:tc>
        <w:tc>
          <w:tcPr>
            <w:tcW w:w="0" w:type="auto"/>
            <w:vAlign w:val="center"/>
          </w:tcPr>
          <w:p w14:paraId="38582A4A"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26.1 (13.0 - 44.8)</w:t>
            </w:r>
          </w:p>
        </w:tc>
        <w:tc>
          <w:tcPr>
            <w:tcW w:w="0" w:type="auto"/>
            <w:vAlign w:val="center"/>
          </w:tcPr>
          <w:p w14:paraId="295B1AE5"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&lt;0.001</w:t>
            </w:r>
          </w:p>
        </w:tc>
        <w:tc>
          <w:tcPr>
            <w:tcW w:w="0" w:type="auto"/>
            <w:vAlign w:val="center"/>
          </w:tcPr>
          <w:p w14:paraId="27239E02" w14:textId="77777777" w:rsidR="00F25408" w:rsidRPr="000B0457" w:rsidRDefault="00B83351">
            <w:pPr>
              <w:jc w:val="center"/>
              <w:rPr>
                <w:rFonts w:ascii="Times New Roman" w:hAnsi="Times New Roman" w:cs="Times New Roman"/>
                <w:sz w:val="20"/>
                <w:szCs w:val="20"/>
              </w:rPr>
            </w:pPr>
            <w:r w:rsidRPr="000B0457">
              <w:rPr>
                <w:rFonts w:ascii="Times New Roman" w:hAnsi="Times New Roman" w:cs="Times New Roman"/>
                <w:sz w:val="20"/>
                <w:szCs w:val="20"/>
              </w:rPr>
              <w:t>&lt;0.001</w:t>
            </w:r>
          </w:p>
        </w:tc>
      </w:tr>
    </w:tbl>
    <w:p w14:paraId="6E0D4AEC" w14:textId="77777777" w:rsidR="000B0457" w:rsidRDefault="00B83351">
      <w:pPr>
        <w:spacing w:before="120" w:after="120"/>
        <w:rPr>
          <w:rFonts w:ascii="Times New Roman" w:hAnsi="Times New Roman" w:cs="Times New Roman"/>
          <w:sz w:val="20"/>
          <w:szCs w:val="20"/>
        </w:rPr>
      </w:pPr>
      <w:r w:rsidRPr="000B0457">
        <w:rPr>
          <w:rFonts w:ascii="Times New Roman" w:hAnsi="Times New Roman" w:cs="Times New Roman"/>
          <w:sz w:val="20"/>
          <w:szCs w:val="20"/>
        </w:rPr>
        <w:t>Notes:</w:t>
      </w:r>
    </w:p>
    <w:p w14:paraId="31A4E2BA" w14:textId="77777777" w:rsidR="000B0457" w:rsidRDefault="00B83351" w:rsidP="000B0457">
      <w:pPr>
        <w:spacing w:before="120" w:after="120"/>
        <w:ind w:firstLineChars="100" w:firstLine="200"/>
        <w:rPr>
          <w:rFonts w:ascii="Times New Roman" w:hAnsi="Times New Roman" w:cs="Times New Roman"/>
          <w:sz w:val="20"/>
          <w:szCs w:val="20"/>
        </w:rPr>
      </w:pPr>
      <w:r w:rsidRPr="000B0457">
        <w:rPr>
          <w:rFonts w:ascii="Times New Roman" w:hAnsi="Times New Roman" w:cs="Times New Roman"/>
          <w:sz w:val="20"/>
          <w:szCs w:val="20"/>
        </w:rPr>
        <w:t>Effects represent the hazard ratio (HR) associated with a one-unit increase in the exposure variable. Total Effect (</w:t>
      </w:r>
      <w:proofErr w:type="spellStart"/>
      <w:r w:rsidRPr="000B0457">
        <w:rPr>
          <w:rFonts w:ascii="Times New Roman" w:hAnsi="Times New Roman" w:cs="Times New Roman"/>
          <w:sz w:val="20"/>
          <w:szCs w:val="20"/>
        </w:rPr>
        <w:t>Rte</w:t>
      </w:r>
      <w:proofErr w:type="spellEnd"/>
      <w:r w:rsidRPr="000B0457">
        <w:rPr>
          <w:rFonts w:ascii="Times New Roman" w:hAnsi="Times New Roman" w:cs="Times New Roman"/>
          <w:sz w:val="20"/>
          <w:szCs w:val="20"/>
        </w:rPr>
        <w:t>), Natural Direct Effect (</w:t>
      </w:r>
      <w:proofErr w:type="spellStart"/>
      <w:r w:rsidRPr="000B0457">
        <w:rPr>
          <w:rFonts w:ascii="Times New Roman" w:hAnsi="Times New Roman" w:cs="Times New Roman"/>
          <w:sz w:val="20"/>
          <w:szCs w:val="20"/>
        </w:rPr>
        <w:t>Rpnde</w:t>
      </w:r>
      <w:proofErr w:type="spellEnd"/>
      <w:r w:rsidRPr="000B0457">
        <w:rPr>
          <w:rFonts w:ascii="Times New Roman" w:hAnsi="Times New Roman" w:cs="Times New Roman"/>
          <w:sz w:val="20"/>
          <w:szCs w:val="20"/>
        </w:rPr>
        <w:t>), and Natural Indirect Effect (</w:t>
      </w:r>
      <w:proofErr w:type="spellStart"/>
      <w:r w:rsidRPr="000B0457">
        <w:rPr>
          <w:rFonts w:ascii="Times New Roman" w:hAnsi="Times New Roman" w:cs="Times New Roman"/>
          <w:sz w:val="20"/>
          <w:szCs w:val="20"/>
        </w:rPr>
        <w:t>Rtnie</w:t>
      </w:r>
      <w:proofErr w:type="spellEnd"/>
      <w:r w:rsidRPr="000B0457">
        <w:rPr>
          <w:rFonts w:ascii="Times New Roman" w:hAnsi="Times New Roman" w:cs="Times New Roman"/>
          <w:sz w:val="20"/>
          <w:szCs w:val="20"/>
        </w:rPr>
        <w:t>) are presented.</w:t>
      </w:r>
    </w:p>
    <w:p w14:paraId="5E52E2F4" w14:textId="77777777" w:rsidR="000B0457" w:rsidRDefault="00B83351" w:rsidP="000B0457">
      <w:pPr>
        <w:spacing w:before="120" w:after="120"/>
        <w:ind w:firstLineChars="100" w:firstLine="200"/>
        <w:rPr>
          <w:rFonts w:ascii="Times New Roman" w:hAnsi="Times New Roman" w:cs="Times New Roman"/>
          <w:sz w:val="20"/>
          <w:szCs w:val="20"/>
        </w:rPr>
      </w:pPr>
      <w:r w:rsidRPr="000B0457">
        <w:rPr>
          <w:rFonts w:ascii="Times New Roman" w:hAnsi="Times New Roman" w:cs="Times New Roman"/>
          <w:sz w:val="20"/>
          <w:szCs w:val="20"/>
        </w:rPr>
        <w:t>Baseline adjusted models controlled for baseline age, sex, education, residence, marital status, smoking status, drinking status, whether children live nearby, weekly contact with children, participation in social groups, hypertension status, diabetes status, number of living children, number of living siblings, and number of living parents.</w:t>
      </w:r>
    </w:p>
    <w:p w14:paraId="65059F64" w14:textId="19B20ABE" w:rsidR="00F25408" w:rsidRDefault="00B83351" w:rsidP="000B0457">
      <w:pPr>
        <w:spacing w:before="120" w:after="120"/>
        <w:ind w:firstLineChars="100" w:firstLine="200"/>
        <w:rPr>
          <w:rFonts w:ascii="Times New Roman" w:hAnsi="Times New Roman" w:cs="Times New Roman"/>
          <w:sz w:val="20"/>
          <w:szCs w:val="20"/>
        </w:rPr>
      </w:pPr>
      <w:r w:rsidRPr="000B0457">
        <w:rPr>
          <w:rFonts w:ascii="Times New Roman" w:hAnsi="Times New Roman" w:cs="Times New Roman"/>
          <w:sz w:val="20"/>
          <w:szCs w:val="20"/>
        </w:rPr>
        <w:t xml:space="preserve"> Cumulative adjusted models controlled for baseline age, sex, education, and time-varying patterns of smoking, drinking, marital status, children living nearby, weekly contact with children, social group participation, hypertension, diabetes, residence, as well as cumulative average number of living children, siblings, and </w:t>
      </w:r>
      <w:proofErr w:type="spellStart"/>
      <w:proofErr w:type="gramStart"/>
      <w:r w:rsidRPr="000B0457">
        <w:rPr>
          <w:rFonts w:ascii="Times New Roman" w:hAnsi="Times New Roman" w:cs="Times New Roman"/>
          <w:sz w:val="20"/>
          <w:szCs w:val="20"/>
        </w:rPr>
        <w:t>parents.P</w:t>
      </w:r>
      <w:proofErr w:type="spellEnd"/>
      <w:proofErr w:type="gramEnd"/>
      <w:r w:rsidRPr="000B0457">
        <w:rPr>
          <w:rFonts w:ascii="Times New Roman" w:hAnsi="Times New Roman" w:cs="Times New Roman"/>
          <w:sz w:val="20"/>
          <w:szCs w:val="20"/>
        </w:rPr>
        <w:t>-values are based on 5000 bootstrap replications using the percentile method.</w:t>
      </w:r>
    </w:p>
    <w:p w14:paraId="59363279" w14:textId="0F3B2054" w:rsidR="000B0457" w:rsidRDefault="000B0457">
      <w:pPr>
        <w:spacing w:before="120" w:after="120"/>
        <w:rPr>
          <w:rFonts w:ascii="Times New Roman" w:eastAsiaTheme="minorEastAsia" w:hAnsi="Times New Roman" w:cs="Times New Roman"/>
          <w:sz w:val="20"/>
          <w:szCs w:val="20"/>
        </w:rPr>
      </w:pPr>
    </w:p>
    <w:p w14:paraId="04FBEBC2" w14:textId="77777777" w:rsidR="000B0457" w:rsidRDefault="000B0457" w:rsidP="000B0457">
      <w:pPr>
        <w:spacing w:before="120" w:after="120"/>
        <w:rPr>
          <w:rFonts w:ascii="Times New Roman" w:hAnsi="Times New Roman" w:cs="Times New Roman"/>
          <w:sz w:val="20"/>
          <w:szCs w:val="20"/>
        </w:rPr>
      </w:pPr>
      <w:r>
        <w:rPr>
          <w:rFonts w:ascii="Times New Roman" w:hAnsi="Times New Roman" w:cs="Times New Roman"/>
          <w:sz w:val="20"/>
          <w:szCs w:val="20"/>
        </w:rPr>
        <w:t>Abbreviations: ADL, Activities of Daily Living; CES-D, Center for Epidemiologic Studies Depression Scale; HR, Hazard Ratio; CI, Confidence Interval; NDE, Natural Direct Effect; NIE, Natural Indirect Effect; PM, Proportion Mediated.</w:t>
      </w:r>
    </w:p>
    <w:p w14:paraId="6A53FE38" w14:textId="77777777" w:rsidR="000B0457" w:rsidRPr="000B0457" w:rsidRDefault="000B0457">
      <w:pPr>
        <w:spacing w:before="120" w:after="120"/>
        <w:rPr>
          <w:rFonts w:ascii="Times New Roman" w:eastAsiaTheme="minorEastAsia" w:hAnsi="Times New Roman" w:cs="Times New Roman"/>
          <w:sz w:val="20"/>
          <w:szCs w:val="20"/>
        </w:rPr>
      </w:pPr>
    </w:p>
    <w:sectPr w:rsidR="000B0457" w:rsidRPr="000B0457">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33F42" w14:textId="77777777" w:rsidR="00B4302D" w:rsidRDefault="00B4302D" w:rsidP="000B0457">
      <w:r>
        <w:separator/>
      </w:r>
    </w:p>
  </w:endnote>
  <w:endnote w:type="continuationSeparator" w:id="0">
    <w:p w14:paraId="39FDBEE3" w14:textId="77777777" w:rsidR="00B4302D" w:rsidRDefault="00B4302D" w:rsidP="000B0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1F3F" w14:textId="77777777" w:rsidR="00B4302D" w:rsidRDefault="00B4302D" w:rsidP="000B0457">
      <w:r>
        <w:separator/>
      </w:r>
    </w:p>
  </w:footnote>
  <w:footnote w:type="continuationSeparator" w:id="0">
    <w:p w14:paraId="6A81B674" w14:textId="77777777" w:rsidR="00B4302D" w:rsidRDefault="00B4302D" w:rsidP="000B0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D2B1A"/>
    <w:multiLevelType w:val="hybridMultilevel"/>
    <w:tmpl w:val="730E6AE4"/>
    <w:lvl w:ilvl="0" w:tplc="0382C960">
      <w:start w:val="1"/>
      <w:numFmt w:val="bullet"/>
      <w:lvlText w:val="●"/>
      <w:lvlJc w:val="left"/>
      <w:pPr>
        <w:ind w:left="720" w:hanging="360"/>
      </w:pPr>
    </w:lvl>
    <w:lvl w:ilvl="1" w:tplc="1F8803F0">
      <w:start w:val="1"/>
      <w:numFmt w:val="bullet"/>
      <w:lvlText w:val="○"/>
      <w:lvlJc w:val="left"/>
      <w:pPr>
        <w:ind w:left="1440" w:hanging="360"/>
      </w:pPr>
    </w:lvl>
    <w:lvl w:ilvl="2" w:tplc="84C27300">
      <w:start w:val="1"/>
      <w:numFmt w:val="bullet"/>
      <w:lvlText w:val="■"/>
      <w:lvlJc w:val="left"/>
      <w:pPr>
        <w:ind w:left="2160" w:hanging="360"/>
      </w:pPr>
    </w:lvl>
    <w:lvl w:ilvl="3" w:tplc="2B26B780">
      <w:start w:val="1"/>
      <w:numFmt w:val="bullet"/>
      <w:lvlText w:val="●"/>
      <w:lvlJc w:val="left"/>
      <w:pPr>
        <w:ind w:left="2880" w:hanging="360"/>
      </w:pPr>
    </w:lvl>
    <w:lvl w:ilvl="4" w:tplc="2C922B58">
      <w:start w:val="1"/>
      <w:numFmt w:val="bullet"/>
      <w:lvlText w:val="○"/>
      <w:lvlJc w:val="left"/>
      <w:pPr>
        <w:ind w:left="3600" w:hanging="360"/>
      </w:pPr>
    </w:lvl>
    <w:lvl w:ilvl="5" w:tplc="43661F34">
      <w:start w:val="1"/>
      <w:numFmt w:val="bullet"/>
      <w:lvlText w:val="■"/>
      <w:lvlJc w:val="left"/>
      <w:pPr>
        <w:ind w:left="4320" w:hanging="360"/>
      </w:pPr>
    </w:lvl>
    <w:lvl w:ilvl="6" w:tplc="8F16E792">
      <w:start w:val="1"/>
      <w:numFmt w:val="bullet"/>
      <w:lvlText w:val="●"/>
      <w:lvlJc w:val="left"/>
      <w:pPr>
        <w:ind w:left="5040" w:hanging="360"/>
      </w:pPr>
    </w:lvl>
    <w:lvl w:ilvl="7" w:tplc="76CAC162">
      <w:start w:val="1"/>
      <w:numFmt w:val="bullet"/>
      <w:lvlText w:val="●"/>
      <w:lvlJc w:val="left"/>
      <w:pPr>
        <w:ind w:left="5760" w:hanging="360"/>
      </w:pPr>
    </w:lvl>
    <w:lvl w:ilvl="8" w:tplc="4ACCF556">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408"/>
    <w:rsid w:val="000B0457"/>
    <w:rsid w:val="003C2880"/>
    <w:rsid w:val="00B4302D"/>
    <w:rsid w:val="00B83351"/>
    <w:rsid w:val="00F25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F28DA"/>
  <w15:docId w15:val="{E26B58A5-4F33-4748-B414-A7842534A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sz w:val="24"/>
      <w:szCs w:val="24"/>
    </w:rPr>
  </w:style>
  <w:style w:type="paragraph" w:styleId="1">
    <w:name w:val="heading 1"/>
    <w:basedOn w:val="a"/>
    <w:next w:val="a"/>
    <w:uiPriority w:val="9"/>
    <w:qFormat/>
    <w:pPr>
      <w:outlineLvl w:val="0"/>
    </w:pPr>
    <w:rPr>
      <w:color w:val="2E74B5"/>
      <w:sz w:val="32"/>
      <w:szCs w:val="32"/>
    </w:rPr>
  </w:style>
  <w:style w:type="paragraph" w:styleId="2">
    <w:name w:val="heading 2"/>
    <w:basedOn w:val="a"/>
    <w:next w:val="a"/>
    <w:uiPriority w:val="9"/>
    <w:unhideWhenUsed/>
    <w:qFormat/>
    <w:pPr>
      <w:outlineLvl w:val="1"/>
    </w:pPr>
    <w:rPr>
      <w:color w:val="2E74B5"/>
      <w:sz w:val="26"/>
      <w:szCs w:val="26"/>
    </w:rPr>
  </w:style>
  <w:style w:type="paragraph" w:styleId="3">
    <w:name w:val="heading 3"/>
    <w:basedOn w:val="a"/>
    <w:next w:val="a"/>
    <w:uiPriority w:val="9"/>
    <w:unhideWhenUsed/>
    <w:qFormat/>
    <w:pPr>
      <w:outlineLvl w:val="2"/>
    </w:pPr>
    <w:rPr>
      <w:color w:val="1F4D78"/>
    </w:rPr>
  </w:style>
  <w:style w:type="paragraph" w:styleId="4">
    <w:name w:val="heading 4"/>
    <w:basedOn w:val="a"/>
    <w:next w:val="a"/>
    <w:uiPriority w:val="9"/>
    <w:semiHidden/>
    <w:unhideWhenUsed/>
    <w:qFormat/>
    <w:pPr>
      <w:outlineLvl w:val="3"/>
    </w:pPr>
    <w:rPr>
      <w:i/>
      <w:iCs/>
      <w:color w:val="2E74B5"/>
    </w:rPr>
  </w:style>
  <w:style w:type="paragraph" w:styleId="5">
    <w:name w:val="heading 5"/>
    <w:basedOn w:val="a"/>
    <w:next w:val="a"/>
    <w:uiPriority w:val="9"/>
    <w:semiHidden/>
    <w:unhideWhenUsed/>
    <w:qFormat/>
    <w:pPr>
      <w:outlineLvl w:val="4"/>
    </w:pPr>
    <w:rPr>
      <w:color w:val="2E74B5"/>
    </w:rPr>
  </w:style>
  <w:style w:type="paragraph" w:styleId="6">
    <w:name w:val="heading 6"/>
    <w:basedOn w:val="a"/>
    <w:next w:val="a"/>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rPr>
      <w:sz w:val="56"/>
      <w:szCs w:val="56"/>
    </w:rPr>
  </w:style>
  <w:style w:type="paragraph" w:customStyle="1" w:styleId="10">
    <w:name w:val="要点1"/>
    <w:basedOn w:val="a"/>
    <w:next w:val="a"/>
    <w:qFormat/>
    <w:rPr>
      <w:b/>
      <w:bCs/>
    </w:rPr>
  </w:style>
  <w:style w:type="paragraph" w:styleId="a4">
    <w:name w:val="List Paragraph"/>
    <w:basedOn w:val="a"/>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basedOn w:val="a"/>
    <w:link w:val="a8"/>
    <w:uiPriority w:val="99"/>
    <w:semiHidden/>
    <w:unhideWhenUsed/>
    <w:rPr>
      <w:sz w:val="20"/>
      <w:szCs w:val="20"/>
    </w:rPr>
  </w:style>
  <w:style w:type="character" w:customStyle="1" w:styleId="a8">
    <w:name w:val="脚注文本 字符"/>
    <w:link w:val="a7"/>
    <w:uiPriority w:val="99"/>
    <w:semiHidden/>
    <w:unhideWhenUsed/>
    <w:rPr>
      <w:sz w:val="20"/>
      <w:szCs w:val="20"/>
    </w:rPr>
  </w:style>
  <w:style w:type="paragraph" w:styleId="a9">
    <w:name w:val="header"/>
    <w:basedOn w:val="a"/>
    <w:link w:val="aa"/>
    <w:uiPriority w:val="99"/>
    <w:unhideWhenUsed/>
    <w:rsid w:val="000B0457"/>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0B0457"/>
    <w:rPr>
      <w:rFonts w:ascii="Arial" w:eastAsia="Arial" w:hAnsi="Arial" w:cs="Arial"/>
      <w:sz w:val="18"/>
      <w:szCs w:val="18"/>
    </w:rPr>
  </w:style>
  <w:style w:type="paragraph" w:styleId="ab">
    <w:name w:val="footer"/>
    <w:basedOn w:val="a"/>
    <w:link w:val="ac"/>
    <w:uiPriority w:val="99"/>
    <w:unhideWhenUsed/>
    <w:rsid w:val="000B0457"/>
    <w:pPr>
      <w:tabs>
        <w:tab w:val="center" w:pos="4153"/>
        <w:tab w:val="right" w:pos="8306"/>
      </w:tabs>
      <w:snapToGrid w:val="0"/>
    </w:pPr>
    <w:rPr>
      <w:sz w:val="18"/>
      <w:szCs w:val="18"/>
    </w:rPr>
  </w:style>
  <w:style w:type="character" w:customStyle="1" w:styleId="ac">
    <w:name w:val="页脚 字符"/>
    <w:basedOn w:val="a0"/>
    <w:link w:val="ab"/>
    <w:uiPriority w:val="99"/>
    <w:rsid w:val="000B0457"/>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430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399</Words>
  <Characters>2277</Characters>
  <Application>Microsoft Office Word</Application>
  <DocSecurity>0</DocSecurity>
  <Lines>18</Lines>
  <Paragraphs>5</Paragraphs>
  <ScaleCrop>false</ScaleCrop>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罗楚仪</cp:lastModifiedBy>
  <cp:revision>3</cp:revision>
  <dcterms:created xsi:type="dcterms:W3CDTF">2025-05-05T13:04:00Z</dcterms:created>
  <dcterms:modified xsi:type="dcterms:W3CDTF">2025-05-17T02:14:00Z</dcterms:modified>
</cp:coreProperties>
</file>